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56" w:rsidRPr="00017556" w:rsidRDefault="00017556" w:rsidP="00017556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017556" w:rsidRPr="004077D4" w:rsidRDefault="00017556" w:rsidP="00017556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Приложением Правительства №</w:t>
      </w:r>
      <w:r w:rsidR="004077D4"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017556" w:rsidRPr="00017556" w:rsidRDefault="004077D4" w:rsidP="00017556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017556">
        <w:rPr>
          <w:rFonts w:ascii="Times New Roman" w:hAnsi="Times New Roman" w:cs="Times New Roman"/>
          <w:sz w:val="28"/>
          <w:szCs w:val="28"/>
          <w:lang w:val="ru-RU"/>
        </w:rPr>
        <w:t xml:space="preserve">27 мая  </w:t>
      </w:r>
      <w:r w:rsidR="00017556" w:rsidRPr="00017556">
        <w:rPr>
          <w:rFonts w:ascii="Times New Roman" w:hAnsi="Times New Roman" w:cs="Times New Roman"/>
          <w:sz w:val="28"/>
          <w:szCs w:val="28"/>
          <w:lang w:val="ru-RU"/>
        </w:rPr>
        <w:t>2014 г.</w:t>
      </w: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МЕТОДОЛОГИЯ</w:t>
      </w: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планирования государственного контроля </w:t>
      </w: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предпринимательской деятельности в области почтовых </w:t>
      </w: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связей Министерством информационных технологий и </w:t>
      </w:r>
    </w:p>
    <w:p w:rsidR="00017556" w:rsidRPr="00017556" w:rsidRDefault="00017556" w:rsidP="0001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связи на основании анализа критериев риска</w:t>
      </w:r>
    </w:p>
    <w:p w:rsidR="00017556" w:rsidRPr="00017556" w:rsidRDefault="00017556" w:rsidP="00017556">
      <w:pPr>
        <w:pStyle w:val="a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pStyle w:val="cp"/>
        <w:rPr>
          <w:sz w:val="28"/>
          <w:szCs w:val="28"/>
        </w:rPr>
      </w:pPr>
      <w:r w:rsidRPr="00017556">
        <w:rPr>
          <w:sz w:val="28"/>
          <w:szCs w:val="28"/>
        </w:rPr>
        <w:t>I. Общие положения</w:t>
      </w:r>
    </w:p>
    <w:p w:rsidR="00017556" w:rsidRPr="00017556" w:rsidRDefault="00017556" w:rsidP="00017556">
      <w:pPr>
        <w:pStyle w:val="a"/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1. Методология планирования государственного контроля предпринимательской деятельности в области почтовых связей Министерством информационных технологий и связи на основании анализа критериев риска (в дальнейшем - Методология) разработана в целях  повышения эффективности контроля и государственного надзора предпринимательской деятельности в соответствии с Законом о государственном контроле предпринимательской деятельности № 131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12"/>
        </w:smartTagPr>
        <w:r w:rsidRPr="00017556">
          <w:rPr>
            <w:rFonts w:ascii="Times New Roman" w:hAnsi="Times New Roman" w:cs="Times New Roman"/>
            <w:sz w:val="28"/>
            <w:szCs w:val="28"/>
            <w:lang w:val="ru-RU"/>
          </w:rPr>
          <w:t>8 июня 2012 года</w:t>
        </w:r>
      </w:smartTag>
      <w:r w:rsidRPr="000175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2. Методологическая сущность анализа планирования контроля на основе критериев риска состоит в распределении по наиболее важным критериям риска, характерным области контроля, отнесенной к компетенции  Министерства информационных технологий и связи (в дальнейшем - Министерство),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оператора почтовой связи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3. Оценка уровня прогнозируемого риска для каждого оператора почтовой связи определяет частоту и интенсивность необходимых мер контроля в отношении данного экономического агента.</w:t>
      </w:r>
    </w:p>
    <w:p w:rsidR="00017556" w:rsidRPr="00017556" w:rsidRDefault="00017556" w:rsidP="00017556">
      <w:pPr>
        <w:pStyle w:val="a"/>
        <w:spacing w:before="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t>II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. Установление критериев риска</w:t>
      </w:r>
    </w:p>
    <w:p w:rsidR="00017556" w:rsidRPr="00017556" w:rsidRDefault="00017556" w:rsidP="00017556">
      <w:pPr>
        <w:pStyle w:val="a"/>
        <w:spacing w:before="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4. Критерий риска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суммирует набор обстоятельств или характеристик субъекта подлежащего контролю и предыдущих взаимных отношений  оператора почтовой связи,  контролируемого  Министерством, существование и интенсивность которых могут указывать на вероятность причинения вреда жизни и здоровью людей, окружающей среде и общественному порядку вследствие деятельности физического или юридического лица и степень такого вреда. 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5. Критерии риска могут быть объединены в зависимости от субъекта контроля и предыдущих взаимоотношений с органами контроля: 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1) критерии риска в зависимости от субъекта: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a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объем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отправленных и принятых почтовых отправлений;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b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компетентным органам информации согласно законодательству;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c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доход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от  продаж;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d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почтовым оператором деятельности, подлежащей контролю;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7556">
        <w:rPr>
          <w:rFonts w:ascii="Times New Roman" w:hAnsi="Times New Roman"/>
          <w:sz w:val="28"/>
          <w:szCs w:val="28"/>
          <w:lang w:val="ru-RU"/>
        </w:rPr>
        <w:t xml:space="preserve">2) критерии риска в зависимости от предыдущих взаимоотношений: 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a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дата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 последней проверки; 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</w:rPr>
        <w:t>b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предыдущие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нарушения.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t>III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. Распределение интенсивности риска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7556">
        <w:rPr>
          <w:rFonts w:ascii="Times New Roman" w:hAnsi="Times New Roman"/>
          <w:sz w:val="28"/>
          <w:szCs w:val="28"/>
          <w:lang w:val="ru-RU"/>
        </w:rPr>
        <w:t>6.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- максимальную степень риска.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7. Для критериев риска, указанных в пункте 5, балльные оценки присуждаются следующим образом: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017556">
        <w:rPr>
          <w:rFonts w:ascii="Times New Roman" w:hAnsi="Times New Roman"/>
          <w:lang w:val="ru-RU"/>
        </w:rPr>
        <w:tab/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/>
          <w:b/>
          <w:sz w:val="28"/>
          <w:szCs w:val="28"/>
          <w:lang w:val="ru-RU"/>
        </w:rPr>
        <w:t xml:space="preserve">1) Объем отправленных и принятых почтовых отправлений </w:t>
      </w: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7556">
        <w:rPr>
          <w:rFonts w:ascii="Times New Roman" w:hAnsi="Times New Roman"/>
          <w:i/>
          <w:sz w:val="28"/>
          <w:szCs w:val="28"/>
          <w:lang w:val="ru-RU"/>
        </w:rPr>
        <w:t>Общее основание</w:t>
      </w:r>
      <w:r w:rsidRPr="00017556">
        <w:rPr>
          <w:rFonts w:ascii="Times New Roman" w:hAnsi="Times New Roman"/>
          <w:sz w:val="28"/>
          <w:szCs w:val="28"/>
          <w:lang w:val="ru-RU"/>
        </w:rPr>
        <w:t xml:space="preserve">: чем меньше </w:t>
      </w:r>
      <w:r w:rsidRPr="0001755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17556">
        <w:rPr>
          <w:rFonts w:ascii="Times New Roman" w:hAnsi="Times New Roman"/>
          <w:sz w:val="28"/>
          <w:szCs w:val="28"/>
          <w:lang w:val="ru-RU"/>
        </w:rPr>
        <w:t>бъем отправленных и принятых почтовых отправлений, тем меньше уровень риска.</w:t>
      </w:r>
    </w:p>
    <w:p w:rsidR="00017556" w:rsidRPr="00017556" w:rsidRDefault="00017556" w:rsidP="00017556">
      <w:pPr>
        <w:pStyle w:val="a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420"/>
        <w:gridCol w:w="1936"/>
      </w:tblGrid>
      <w:tr w:rsidR="00017556" w:rsidRPr="00017556" w:rsidTr="00021CAD">
        <w:tc>
          <w:tcPr>
            <w:tcW w:w="742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lastRenderedPageBreak/>
              <w:t>Объём отправленных и принятых почтовых отправлений</w:t>
            </w:r>
          </w:p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36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  <w:szCs w:val="20"/>
              </w:rPr>
              <w:t>риска</w:t>
            </w:r>
            <w:proofErr w:type="spellEnd"/>
          </w:p>
        </w:tc>
      </w:tr>
      <w:tr w:rsidR="00017556" w:rsidRPr="00017556" w:rsidTr="00021CAD">
        <w:tc>
          <w:tcPr>
            <w:tcW w:w="7420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Менее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  <w:r w:rsidRPr="00017556">
              <w:rPr>
                <w:rFonts w:ascii="Times New Roman" w:hAnsi="Times New Roman" w:cs="Times New Roman"/>
                <w:szCs w:val="20"/>
              </w:rPr>
              <w:t xml:space="preserve">1 000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3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17556" w:rsidRPr="00017556" w:rsidTr="00021CAD">
        <w:tc>
          <w:tcPr>
            <w:tcW w:w="7420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От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  <w:r w:rsidRPr="00017556">
              <w:rPr>
                <w:rFonts w:ascii="Times New Roman" w:hAnsi="Times New Roman" w:cs="Times New Roman"/>
                <w:szCs w:val="20"/>
              </w:rPr>
              <w:t xml:space="preserve"> 1 000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5 000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</w:p>
        </w:tc>
        <w:tc>
          <w:tcPr>
            <w:tcW w:w="193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17556" w:rsidRPr="00017556" w:rsidTr="00021CAD">
        <w:tc>
          <w:tcPr>
            <w:tcW w:w="7420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От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5 000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 10 000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</w:p>
        </w:tc>
        <w:tc>
          <w:tcPr>
            <w:tcW w:w="193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17556" w:rsidRPr="00017556" w:rsidTr="00021CAD">
        <w:tc>
          <w:tcPr>
            <w:tcW w:w="7420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От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  <w:r w:rsidRPr="00017556">
              <w:rPr>
                <w:rFonts w:ascii="Times New Roman" w:hAnsi="Times New Roman" w:cs="Times New Roman"/>
                <w:szCs w:val="20"/>
              </w:rPr>
              <w:t xml:space="preserve">10 000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 20 000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000</w:t>
            </w:r>
            <w:proofErr w:type="spellEnd"/>
          </w:p>
        </w:tc>
        <w:tc>
          <w:tcPr>
            <w:tcW w:w="193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17556" w:rsidRPr="00017556" w:rsidTr="00021CAD">
        <w:tc>
          <w:tcPr>
            <w:tcW w:w="7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20 000 </w:t>
            </w:r>
            <w:proofErr w:type="spellStart"/>
            <w:r w:rsidRPr="00017556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2) Представление компетентным органам информации согласно законодательству.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: чем </w:t>
      </w:r>
      <w:r w:rsidRPr="00017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представленная информация соответствует законодательству, тем меньше уровень риска.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804"/>
        <w:gridCol w:w="2552"/>
      </w:tblGrid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>Представление компетентным органам информации</w:t>
            </w:r>
          </w:p>
          <w:p w:rsidR="00017556" w:rsidRPr="00017556" w:rsidRDefault="00017556" w:rsidP="0001755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>согласно законодательству</w:t>
            </w:r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Вся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информация</w:t>
            </w:r>
            <w:proofErr w:type="spellEnd"/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85 %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55 %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25 %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информации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17556" w:rsidRPr="00017556" w:rsidTr="00021CAD">
        <w:tc>
          <w:tcPr>
            <w:tcW w:w="6804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0 %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2552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/>
          <w:b/>
          <w:sz w:val="28"/>
          <w:szCs w:val="28"/>
          <w:lang w:val="ru-RU"/>
        </w:rPr>
        <w:t>3) Доход от продаж.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>: чем меньше</w:t>
      </w:r>
      <w:r w:rsidRPr="00017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доход от продаж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>, тем меньше уровень риска.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560"/>
        <w:gridCol w:w="1796"/>
      </w:tblGrid>
      <w:tr w:rsidR="00017556" w:rsidRPr="00017556" w:rsidTr="00021CAD">
        <w:tc>
          <w:tcPr>
            <w:tcW w:w="756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17556">
              <w:rPr>
                <w:rStyle w:val="docbody"/>
                <w:rFonts w:ascii="Times New Roman" w:hAnsi="Times New Roman" w:cs="Times New Roman"/>
                <w:b/>
                <w:lang w:val="ru-RU"/>
              </w:rPr>
              <w:t xml:space="preserve">           </w:t>
            </w:r>
            <w:proofErr w:type="spellStart"/>
            <w:r w:rsidRPr="00017556">
              <w:rPr>
                <w:rStyle w:val="docbody"/>
                <w:rFonts w:ascii="Times New Roman" w:hAnsi="Times New Roman" w:cs="Times New Roman"/>
                <w:b/>
              </w:rPr>
              <w:t>Доход</w:t>
            </w:r>
            <w:proofErr w:type="spellEnd"/>
            <w:r w:rsidRPr="00017556">
              <w:rPr>
                <w:rStyle w:val="docbody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Style w:val="docbody"/>
                <w:rFonts w:ascii="Times New Roman" w:hAnsi="Times New Roman" w:cs="Times New Roman"/>
                <w:b/>
              </w:rPr>
              <w:t>от</w:t>
            </w:r>
            <w:proofErr w:type="spellEnd"/>
            <w:r w:rsidRPr="00017556">
              <w:rPr>
                <w:rStyle w:val="docbody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Style w:val="docbody"/>
                <w:rFonts w:ascii="Times New Roman" w:hAnsi="Times New Roman" w:cs="Times New Roman"/>
                <w:b/>
              </w:rPr>
              <w:t>продаж</w:t>
            </w:r>
            <w:proofErr w:type="spellEnd"/>
          </w:p>
        </w:tc>
        <w:tc>
          <w:tcPr>
            <w:tcW w:w="1796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017556" w:rsidRPr="00017556" w:rsidTr="00021CAD">
        <w:tc>
          <w:tcPr>
            <w:tcW w:w="756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1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млн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леев</w:t>
            </w:r>
            <w:proofErr w:type="spellEnd"/>
          </w:p>
        </w:tc>
        <w:tc>
          <w:tcPr>
            <w:tcW w:w="179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17556" w:rsidRPr="00017556" w:rsidTr="00021CAD">
        <w:tc>
          <w:tcPr>
            <w:tcW w:w="756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10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млн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леев</w:t>
            </w:r>
            <w:proofErr w:type="spellEnd"/>
          </w:p>
        </w:tc>
        <w:tc>
          <w:tcPr>
            <w:tcW w:w="179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17556" w:rsidRPr="00017556" w:rsidTr="00021CAD">
        <w:tc>
          <w:tcPr>
            <w:tcW w:w="756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50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млн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леев</w:t>
            </w:r>
            <w:proofErr w:type="spellEnd"/>
          </w:p>
        </w:tc>
        <w:tc>
          <w:tcPr>
            <w:tcW w:w="179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17556" w:rsidRPr="00017556" w:rsidTr="00021CAD">
        <w:tc>
          <w:tcPr>
            <w:tcW w:w="756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200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млн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леев</w:t>
            </w:r>
            <w:proofErr w:type="spellEnd"/>
          </w:p>
        </w:tc>
        <w:tc>
          <w:tcPr>
            <w:tcW w:w="179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17556" w:rsidRPr="00017556" w:rsidTr="00021CAD">
        <w:tc>
          <w:tcPr>
            <w:tcW w:w="7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Более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 200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млн</w:t>
            </w:r>
            <w:proofErr w:type="spellEnd"/>
            <w:r w:rsidRPr="00017556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017556">
              <w:rPr>
                <w:rFonts w:ascii="Times New Roman" w:hAnsi="Times New Roman" w:cs="Times New Roman"/>
                <w:szCs w:val="20"/>
              </w:rPr>
              <w:t>леев</w:t>
            </w:r>
            <w:proofErr w:type="spellEnd"/>
          </w:p>
        </w:tc>
        <w:tc>
          <w:tcPr>
            <w:tcW w:w="1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017556" w:rsidRPr="00017556" w:rsidRDefault="00017556" w:rsidP="00017556">
      <w:pPr>
        <w:pStyle w:val="a"/>
        <w:tabs>
          <w:tab w:val="left" w:pos="70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4) Период осуществления почтовым оператором деятельности, подлежащей контролю.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: чем </w:t>
      </w:r>
      <w:r w:rsidRPr="00017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период деятельности почтового оператора на рынке, тем лучше он  знает правила и чаще внедряет внутренние системы контроля качества.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i/>
          <w:sz w:val="16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236"/>
      </w:tblGrid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 xml:space="preserve">          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Период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почтового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оператора</w:t>
            </w:r>
            <w:proofErr w:type="spellEnd"/>
          </w:p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lastRenderedPageBreak/>
              <w:t>Более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</w:rPr>
              <w:t>1</w:t>
            </w:r>
          </w:p>
        </w:tc>
      </w:tr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</w:rPr>
              <w:t xml:space="preserve">15-20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556" w:rsidRPr="00017556" w:rsidTr="00021CAD">
        <w:tc>
          <w:tcPr>
            <w:tcW w:w="7108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До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017556" w:rsidRPr="00017556" w:rsidRDefault="00017556" w:rsidP="00017556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7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tabs>
          <w:tab w:val="left" w:pos="1080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t xml:space="preserve">5) 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Дата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последней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проверки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>.</w:t>
      </w:r>
    </w:p>
    <w:p w:rsidR="00017556" w:rsidRPr="00017556" w:rsidRDefault="00017556" w:rsidP="0001755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: чем длительнее период, в который проверяемый  оператор почтовой связи не проверялся, тем выше вероятность его несоответствия нормативным требованиям. При  этом  минимальный риск  присуждается субъектам, которые были проверены недавно, а максимальный риск – субъектам, в отношении которых в ближайшее  время государственный контроль не проводился. </w:t>
      </w:r>
    </w:p>
    <w:p w:rsidR="00017556" w:rsidRPr="00017556" w:rsidRDefault="00017556" w:rsidP="00017556">
      <w:pPr>
        <w:pStyle w:val="a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230"/>
        <w:gridCol w:w="2006"/>
      </w:tblGrid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>Промежуток времени с момента осуществления</w:t>
            </w:r>
          </w:p>
          <w:p w:rsidR="00017556" w:rsidRPr="00017556" w:rsidRDefault="00017556" w:rsidP="0001755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>последней проверки</w:t>
            </w:r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От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года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3 - 4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года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4 – 5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017556" w:rsidRPr="00017556" w:rsidTr="00021CAD">
        <w:tc>
          <w:tcPr>
            <w:tcW w:w="723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лет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017556" w:rsidRPr="00017556" w:rsidRDefault="00017556" w:rsidP="0001755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556">
        <w:rPr>
          <w:rFonts w:ascii="Times New Roman" w:hAnsi="Times New Roman" w:cs="Times New Roman"/>
          <w:i/>
          <w:sz w:val="28"/>
          <w:szCs w:val="28"/>
        </w:rPr>
        <w:tab/>
        <w:t>6</w:t>
      </w:r>
      <w:r w:rsidRPr="0001755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Предыдущие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нарушения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>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Общее основание: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нарушений на дату последней проверки указывает на готовность оператора почтовой связи соблюдать нормативные акты и общие условия предоставления услуг и, следовательно, более низкий риск нарушения этих условий. Таким образом, этот факт может освободить оператора почтовой связи от последующей проверки. В то же время, наличие нарушений на последнюю дату осуществления проверки, присуждает экономическому агенту более высокую степень риска.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8101"/>
        <w:gridCol w:w="1475"/>
      </w:tblGrid>
      <w:tr w:rsidR="00017556" w:rsidRPr="00017556" w:rsidTr="00021CAD">
        <w:tc>
          <w:tcPr>
            <w:tcW w:w="4230" w:type="pct"/>
          </w:tcPr>
          <w:p w:rsidR="00017556" w:rsidRPr="00017556" w:rsidRDefault="00017556" w:rsidP="0001755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7556">
              <w:rPr>
                <w:rFonts w:ascii="Times New Roman" w:hAnsi="Times New Roman" w:cs="Times New Roman"/>
                <w:b/>
                <w:lang w:val="ru-RU"/>
              </w:rPr>
              <w:t>Нарушения, выявленные при  последней проверке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0175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556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</w:tr>
      <w:tr w:rsidR="00017556" w:rsidRPr="00017556" w:rsidTr="00021CAD">
        <w:trPr>
          <w:trHeight w:val="409"/>
        </w:trPr>
        <w:tc>
          <w:tcPr>
            <w:tcW w:w="4230" w:type="pct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017556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 которые не входят в состав правонарушений или преступлений 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1</w:t>
            </w:r>
          </w:p>
        </w:tc>
      </w:tr>
      <w:tr w:rsidR="00017556" w:rsidRPr="00017556" w:rsidTr="00021CAD">
        <w:tc>
          <w:tcPr>
            <w:tcW w:w="4230" w:type="pct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017556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третьим лицам 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2</w:t>
            </w:r>
          </w:p>
        </w:tc>
      </w:tr>
      <w:tr w:rsidR="00017556" w:rsidRPr="00017556" w:rsidTr="00021CAD">
        <w:tc>
          <w:tcPr>
            <w:tcW w:w="4230" w:type="pct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017556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входят в состав правонарушений, в </w:t>
            </w:r>
            <w:r w:rsidRPr="00017556">
              <w:rPr>
                <w:rFonts w:ascii="Times New Roman" w:hAnsi="Times New Roman" w:cs="Times New Roman"/>
                <w:lang w:val="ru-RU"/>
              </w:rPr>
              <w:lastRenderedPageBreak/>
              <w:t xml:space="preserve">результате которых был причинен ущерб третьим лицам (возмещен ущерб) 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017556" w:rsidRPr="00017556" w:rsidTr="00021CAD">
        <w:tc>
          <w:tcPr>
            <w:tcW w:w="4230" w:type="pct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017556">
              <w:rPr>
                <w:rFonts w:ascii="Times New Roman" w:hAnsi="Times New Roman" w:cs="Times New Roman"/>
                <w:lang w:val="ru-RU"/>
              </w:rPr>
              <w:lastRenderedPageBreak/>
              <w:t>Были обнаружены нарушения, которые являются составом преступления и причинили незначительный ущерб третьим лицам (возмещен ущерб)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4</w:t>
            </w:r>
          </w:p>
        </w:tc>
      </w:tr>
      <w:tr w:rsidR="00017556" w:rsidRPr="00017556" w:rsidTr="00021CAD">
        <w:tc>
          <w:tcPr>
            <w:tcW w:w="4230" w:type="pct"/>
          </w:tcPr>
          <w:p w:rsidR="00017556" w:rsidRPr="00017556" w:rsidRDefault="00017556" w:rsidP="0001755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017556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составом преступления и причинили значительный ущерб третьим лицам (применены санкции, возмещен ущерб) </w:t>
            </w:r>
          </w:p>
        </w:tc>
        <w:tc>
          <w:tcPr>
            <w:tcW w:w="770" w:type="pct"/>
            <w:vAlign w:val="center"/>
          </w:tcPr>
          <w:p w:rsidR="00017556" w:rsidRPr="00017556" w:rsidRDefault="00017556" w:rsidP="00017556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5</w:t>
            </w:r>
          </w:p>
        </w:tc>
      </w:tr>
    </w:tbl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t>IV.</w:t>
      </w:r>
      <w:r w:rsidRPr="00017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Весомость</w:t>
      </w:r>
      <w:proofErr w:type="spellEnd"/>
      <w:r w:rsidRPr="0001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7556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7556" w:rsidRPr="00017556" w:rsidRDefault="00017556" w:rsidP="00017556">
      <w:pPr>
        <w:spacing w:after="0"/>
        <w:ind w:left="140" w:firstLine="568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8. Для каждого критерия устанавливается весомость по отношению ко всем отобранным критериям. Весомость обязательных критериев риска подпунктов  3), 4), 5), 6) пункта  7 в сумме составляет 0,7.  Весомость для каждого критерия риска  определяется в долях единицы, таким образом,  чтобы суммарная весомость всех критериев составляла одну единицу.</w:t>
      </w:r>
    </w:p>
    <w:p w:rsidR="00017556" w:rsidRPr="00017556" w:rsidRDefault="00017556" w:rsidP="0001755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6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900"/>
        <w:gridCol w:w="4060"/>
      </w:tblGrid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  <w:b/>
                <w:bCs/>
              </w:rPr>
              <w:t>Весомость</w:t>
            </w:r>
            <w:proofErr w:type="spellEnd"/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1)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 xml:space="preserve">0,2     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2)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0,1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3)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0,15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4)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</w:rPr>
              <w:t>0,2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5)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7556">
              <w:rPr>
                <w:rFonts w:ascii="Times New Roman" w:hAnsi="Times New Roman" w:cs="Times New Roman"/>
                <w:bCs/>
              </w:rPr>
              <w:t>0,15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7556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подпункта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6) </w:t>
            </w:r>
            <w:proofErr w:type="spellStart"/>
            <w:r w:rsidRPr="00017556">
              <w:rPr>
                <w:rFonts w:ascii="Times New Roman" w:hAnsi="Times New Roman" w:cs="Times New Roman"/>
              </w:rPr>
              <w:t>пункта</w:t>
            </w:r>
            <w:proofErr w:type="spellEnd"/>
            <w:r w:rsidRPr="0001755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017556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017556" w:rsidRPr="00017556" w:rsidTr="00021CAD">
        <w:tc>
          <w:tcPr>
            <w:tcW w:w="4900" w:type="dxa"/>
          </w:tcPr>
          <w:p w:rsidR="00017556" w:rsidRPr="00017556" w:rsidRDefault="00017556" w:rsidP="000175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17556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4060" w:type="dxa"/>
          </w:tcPr>
          <w:p w:rsidR="00017556" w:rsidRPr="00017556" w:rsidRDefault="00017556" w:rsidP="0001755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17556">
              <w:rPr>
                <w:rFonts w:ascii="Times New Roman" w:hAnsi="Times New Roman" w:cs="Times New Roman"/>
                <w:b/>
              </w:rPr>
              <w:t>1,0</w:t>
            </w:r>
          </w:p>
        </w:tc>
      </w:tr>
    </w:tbl>
    <w:p w:rsidR="00017556" w:rsidRPr="00017556" w:rsidRDefault="00017556" w:rsidP="000175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56" w:rsidRPr="00017556" w:rsidRDefault="00017556" w:rsidP="000175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t>V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. Применение критериев по отношению к физическим и юридическим лицам</w:t>
      </w:r>
    </w:p>
    <w:p w:rsidR="00017556" w:rsidRPr="00017556" w:rsidRDefault="00017556" w:rsidP="000175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9. После определения конкретных критериев, которые будут использоваться, и их весомости, эти критерии применяются в соотношении с каждым потенциальным субъектом контроля, путем установления  средневзвешенной специфической степени риска на основе следующей формулы:</w:t>
      </w:r>
    </w:p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O"/>
              </w:rPr>
            </m:ctrlPr>
          </m:sSubPr>
          <m:e>
            <m:r>
              <w:rPr>
                <w:rFonts w:ascii="Cambria Math" w:hAnsi="Cambria Math" w:cs="Times New Roman"/>
                <w:lang w:val="ro-MO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O"/>
              </w:rPr>
              <m:t>g</m:t>
            </m:r>
          </m:sub>
        </m:sSub>
        <m:r>
          <w:rPr>
            <w:rFonts w:ascii="Cambria Math" w:hAnsi="Times New Roman" w:cs="Times New Roman"/>
            <w:lang w:val="ro-MO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O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O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O"/>
              </w:rPr>
              <m:t>+</m:t>
            </m:r>
            <m:r>
              <w:rPr>
                <w:rFonts w:ascii="Cambria Math" w:hAnsi="Cambria Math" w:cs="Times New Roman"/>
                <w:lang w:val="ro-MO"/>
              </w:rPr>
              <m:t>⋯</m:t>
            </m:r>
            <m:r>
              <w:rPr>
                <w:rFonts w:ascii="Cambria Math" w:hAnsi="Times New Roman" w:cs="Times New Roman"/>
                <w:lang w:val="ro-MO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O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O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O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O"/>
          </w:rPr>
          <m:t>×</m:t>
        </m:r>
        <m:r>
          <w:rPr>
            <w:rFonts w:ascii="Cambria Math" w:hAnsi="Times New Roman" w:cs="Times New Roman"/>
            <w:lang w:val="ro-MO"/>
          </w:rPr>
          <m:t>200</m:t>
        </m:r>
      </m:oMath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7556">
        <w:rPr>
          <w:rFonts w:ascii="Times New Roman" w:hAnsi="Times New Roman" w:cs="Times New Roman"/>
          <w:i/>
          <w:sz w:val="28"/>
          <w:szCs w:val="28"/>
        </w:rPr>
        <w:t>R</w:t>
      </w:r>
      <w:r w:rsidRPr="00017556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proofErr w:type="spellEnd"/>
      <w:r w:rsidRPr="00017556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–общая степень риска, связанного с потенциальным субъектом контроля; 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1, 2, </w:t>
      </w:r>
      <w:r w:rsidRPr="00017556">
        <w:rPr>
          <w:rFonts w:ascii="Times New Roman" w:hAnsi="Times New Roman" w:cs="Times New Roman"/>
          <w:i/>
          <w:sz w:val="28"/>
          <w:szCs w:val="28"/>
        </w:rPr>
        <w:t>n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–  критерии риска;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</w:rPr>
        <w:t>w</w:t>
      </w: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весомость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каждого критерия риска;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i/>
          <w:sz w:val="28"/>
          <w:szCs w:val="28"/>
        </w:rPr>
        <w:lastRenderedPageBreak/>
        <w:t>R</w:t>
      </w: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017556">
        <w:rPr>
          <w:rFonts w:ascii="Times New Roman" w:hAnsi="Times New Roman" w:cs="Times New Roman"/>
          <w:sz w:val="28"/>
          <w:szCs w:val="28"/>
          <w:lang w:val="ru-RU"/>
        </w:rPr>
        <w:t>уровень</w:t>
      </w:r>
      <w:proofErr w:type="gramEnd"/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риска для каждого критерия.</w:t>
      </w: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Для настоящей Методологии  –</w:t>
      </w: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17556">
        <w:rPr>
          <w:rFonts w:ascii="Times New Roman" w:hAnsi="Times New Roman" w:cs="Times New Roman"/>
          <w:i/>
          <w:sz w:val="28"/>
          <w:szCs w:val="28"/>
        </w:rPr>
        <w:t>n</w:t>
      </w:r>
      <w:r w:rsidRPr="00017556">
        <w:rPr>
          <w:rFonts w:ascii="Times New Roman" w:hAnsi="Times New Roman" w:cs="Times New Roman"/>
          <w:i/>
          <w:sz w:val="28"/>
          <w:szCs w:val="28"/>
          <w:lang w:val="ru-RU"/>
        </w:rPr>
        <w:t>=6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10. После применения формулы, изложенной в пункте 9 настоящей Методологии, общий риск  (</w:t>
      </w:r>
      <w:proofErr w:type="spellStart"/>
      <w:r w:rsidRPr="00017556">
        <w:rPr>
          <w:rFonts w:ascii="Times New Roman" w:hAnsi="Times New Roman" w:cs="Times New Roman"/>
          <w:i/>
          <w:sz w:val="28"/>
          <w:szCs w:val="28"/>
        </w:rPr>
        <w:t>R</w:t>
      </w:r>
      <w:r w:rsidRPr="00017556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proofErr w:type="spellEnd"/>
      <w:r w:rsidRPr="00017556">
        <w:rPr>
          <w:rFonts w:ascii="Times New Roman" w:hAnsi="Times New Roman" w:cs="Times New Roman"/>
          <w:sz w:val="28"/>
          <w:szCs w:val="28"/>
          <w:lang w:val="ru-RU"/>
        </w:rPr>
        <w:t>) будет варьироваться от 200 до 1000 единиц, а операторы почтовой связи, которым было присуждено 200 единиц, будут ассоциироваться с самым низким риском.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ru-RU" w:bidi="he-IL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11. В зависимости от полученного балла в результате применения формулы, субъекты контроля упорядочиваются таким образом, чтобы в верхней части классификации находились лица, которым был присужден максимальный балл (1000 единиц). Операторы почтовой связи в верхней части классификации  ассоциируются с более высоким риском и подлежат проверке в приоритетном порядке.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ru-RU" w:bidi="he-IL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12. На основе классификации Министерство составляет проект графика плановых квартальных проверок, который направляется для регистрации Государственной канцелярии в порядке и сроки, установленные Правительством.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  <w:lang w:val="ru-RU" w:bidi="he-IL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13. Классификация используется Министерством для установления рекомендуемой частоты проверок для каждого оператора почтовой связи. Рекомендуемая частота может быть использована для установления первоочередности внезапного контроля в случае, когда несколько почтовых операторов одновременно соответствуют основаниям и условиям, установленным статьей 19 Закона о государственном контроле предпринимательской деятельности    № 131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r w:rsidRPr="00017556">
          <w:rPr>
            <w:rFonts w:ascii="Times New Roman" w:hAnsi="Times New Roman" w:cs="Times New Roman"/>
            <w:sz w:val="28"/>
            <w:szCs w:val="28"/>
            <w:lang w:val="ru-RU"/>
          </w:rPr>
          <w:t>8 июня 2012 года</w:t>
        </w:r>
      </w:smartTag>
      <w:r w:rsidRPr="000175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14. В конце периода, на который было осуществлено планирование, Министерство разрабатывает отчет, в котором будет определена весомость операторов почтовой связи, подлежащих проверке,  от общего числа и  при необходимости на основе информации,  собранной в ходе проверки, будут изменены, ранее присужденные баллы вследствие изменения ситуации с момента последней проведенной проверки, обновления данных каждого оператора почтовой связи.</w:t>
      </w:r>
    </w:p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17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и поддержка информационных систем, </w:t>
      </w:r>
    </w:p>
    <w:p w:rsidR="00017556" w:rsidRPr="00017556" w:rsidRDefault="00017556" w:rsidP="00017556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использования критериев риска</w:t>
      </w:r>
    </w:p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15. Система анализа проверок на основе критериев риска должна основываться на соответствующих достоверных, надежных и доступных статистических данных, предоставленных Национальным бюро по статистике. Является обязательным требование о  недопущении применения критериев риска на основе неполных данных  и данных, имеющих двоякое толкование.</w:t>
      </w:r>
    </w:p>
    <w:p w:rsidR="00017556" w:rsidRPr="00017556" w:rsidRDefault="00017556" w:rsidP="0001755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he-IL"/>
        </w:rPr>
      </w:pPr>
    </w:p>
    <w:p w:rsidR="00017556" w:rsidRPr="00017556" w:rsidRDefault="00017556" w:rsidP="00017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16. Для разработки и поддержания классификации почтовых операторов согласно представленным  рискам Министерство  поддерживает базу данных,  отражающую:</w:t>
      </w:r>
    </w:p>
    <w:p w:rsidR="00017556" w:rsidRPr="00017556" w:rsidRDefault="00017556" w:rsidP="00017556">
      <w:pPr>
        <w:tabs>
          <w:tab w:val="left" w:pos="700"/>
        </w:tabs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ab/>
        <w:t>1) список всех операторов почтовой связи, подлежащих контролю, с личными идентификационными данными;</w:t>
      </w:r>
    </w:p>
    <w:p w:rsidR="00017556" w:rsidRPr="00017556" w:rsidRDefault="00017556" w:rsidP="00017556">
      <w:pPr>
        <w:tabs>
          <w:tab w:val="left" w:pos="700"/>
        </w:tabs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профиль каждого оператора почтовой связи, с информацией, соответствующей критериям риска, используемым для классификации данного оператора; </w:t>
      </w:r>
    </w:p>
    <w:p w:rsidR="00017556" w:rsidRPr="00017556" w:rsidRDefault="00017556" w:rsidP="00017556">
      <w:pPr>
        <w:tabs>
          <w:tab w:val="left" w:pos="0"/>
        </w:tabs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ab/>
        <w:t>3) решения и предписания Министерство, касающиеся оператора почтовой связи, а также всю полученную от данного почтового оператора документацию.</w:t>
      </w:r>
    </w:p>
    <w:p w:rsidR="00017556" w:rsidRPr="00017556" w:rsidRDefault="00017556" w:rsidP="00017556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556" w:rsidRPr="00017556" w:rsidRDefault="00017556" w:rsidP="00017556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017556">
        <w:rPr>
          <w:rFonts w:ascii="Times New Roman" w:hAnsi="Times New Roman" w:cs="Times New Roman"/>
          <w:sz w:val="28"/>
          <w:szCs w:val="28"/>
          <w:lang w:val="ru-RU"/>
        </w:rPr>
        <w:t>17.  Министерство  пересматривает и обновляет необходимую  информацию  для применения критериев риска не реже одного раза в год.</w:t>
      </w:r>
    </w:p>
    <w:p w:rsidR="000D3210" w:rsidRPr="00017556" w:rsidRDefault="000D3210" w:rsidP="00017556">
      <w:pPr>
        <w:spacing w:after="0"/>
        <w:rPr>
          <w:rFonts w:ascii="Times New Roman" w:hAnsi="Times New Roman" w:cs="Times New Roman"/>
          <w:lang w:val="ru-RU"/>
        </w:rPr>
      </w:pPr>
    </w:p>
    <w:sectPr w:rsidR="000D3210" w:rsidRPr="00017556" w:rsidSect="0001755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556"/>
    <w:rsid w:val="00017556"/>
    <w:rsid w:val="000D3210"/>
    <w:rsid w:val="004077D4"/>
    <w:rsid w:val="00E4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017556"/>
    <w:pPr>
      <w:spacing w:before="200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docbody">
    <w:name w:val="doc_body"/>
    <w:basedOn w:val="DefaultParagraphFont"/>
    <w:rsid w:val="00017556"/>
  </w:style>
  <w:style w:type="paragraph" w:customStyle="1" w:styleId="cp">
    <w:name w:val="cp"/>
    <w:basedOn w:val="Normal"/>
    <w:rsid w:val="000175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2014-06-05T07:38:00Z</dcterms:created>
  <dcterms:modified xsi:type="dcterms:W3CDTF">2014-06-05T07:38:00Z</dcterms:modified>
</cp:coreProperties>
</file>